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219"/>
        <w:gridCol w:w="1702"/>
        <w:gridCol w:w="1444"/>
        <w:gridCol w:w="1725"/>
        <w:gridCol w:w="382"/>
        <w:gridCol w:w="1238"/>
        <w:gridCol w:w="1003"/>
        <w:gridCol w:w="1360"/>
        <w:gridCol w:w="924"/>
        <w:gridCol w:w="924"/>
        <w:gridCol w:w="1355"/>
        <w:gridCol w:w="545"/>
        <w:gridCol w:w="924"/>
        <w:gridCol w:w="382"/>
        <w:gridCol w:w="545"/>
        <w:gridCol w:w="864"/>
        <w:gridCol w:w="985"/>
        <w:gridCol w:w="924"/>
        <w:gridCol w:w="1009"/>
        <w:gridCol w:w="707"/>
        <w:gridCol w:w="1186"/>
        <w:gridCol w:w="1199"/>
      </w:tblGrid>
      <w:tr w:rsidR="00416E38" w:rsidRPr="00416E38" w:rsidTr="00416E38">
        <w:trPr>
          <w:trHeight w:val="24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289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B2:U24"/>
            <w:bookmarkEnd w:id="0"/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1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Номер плана в ФГИС ЕРП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E1F2" w:fill="D0CECE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2022042683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62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Наименование прокуратуры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0CECE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Прокуратура Республики Карелия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1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Дата выгрузки из системы ФГИС ЕРП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0CECE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1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ТИПОВАЯ ФОРМА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1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ежегодного плана проведения плановых проверок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6E38" w:rsidRPr="00416E38" w:rsidTr="00416E38">
        <w:trPr>
          <w:trHeight w:val="66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2EFDA" w:fill="D9E1F2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Главное управление МЧС России по Республике Карелия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3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УТВЕРЖДЕН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E2EFDA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E2EFDA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E2EFDA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E2EFDA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E2EFDA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Овчинников А.В.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6E38" w:rsidRPr="00416E38" w:rsidTr="00416E38">
        <w:trPr>
          <w:trHeight w:val="3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(фамилия, инициалы и подпись руководителя)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6E38" w:rsidRPr="00416E38" w:rsidTr="00416E38">
        <w:trPr>
          <w:trHeight w:val="33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E2EFDA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01.10.2021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E2EFDA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E2EFDA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E2EFDA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16E38" w:rsidRPr="00416E38" w:rsidTr="00416E38">
        <w:trPr>
          <w:trHeight w:val="3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1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1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проведения плановых проверок на: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2EFDA" w:fill="D9E1F2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3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E38" w:rsidRPr="00416E38" w:rsidTr="00416E38">
        <w:trPr>
          <w:trHeight w:val="148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Наименование проверяемого лица (ЮЛ, ИП, ОГВ, ФИО должностного лица), </w:t>
            </w:r>
            <w:r w:rsidRPr="00416E3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деятельность которого подлежит проверке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lastRenderedPageBreak/>
              <w:t>Адреса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Основной государственный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регистрационный номер (ОГРН</w:t>
            </w:r>
            <w:proofErr w:type="gramStart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не более 15 символов)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Идентификационный номер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налогоплательщика (ИНН</w:t>
            </w:r>
            <w:proofErr w:type="gramStart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не более 12 символов)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Цель проведения проверки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Основание проведения проверки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Дата начала проведения </w:t>
            </w:r>
            <w:proofErr w:type="gramStart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проверки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ДД.ММ.ГГГГ или порядковый номер месяца или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 xml:space="preserve">название месяца на русском языке в </w:t>
            </w:r>
            <w:proofErr w:type="spellStart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Им.падеже</w:t>
            </w:r>
            <w:proofErr w:type="spellEnd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Срок проведения плановой проверки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Форма проведения </w:t>
            </w:r>
            <w:proofErr w:type="gramStart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проверки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документарная, выездная, документарная и выездная)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Наименование органа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государственного контроля (надзора), 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 xml:space="preserve">органа муниципального </w:t>
            </w:r>
            <w:proofErr w:type="gramStart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контроля,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которым проверка проводится совместно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Информация о постановлении о назначении административного назначения или решении о приостановлении и (или) аннулировании лицензии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Информация о присвоении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деятельности юридическо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lastRenderedPageBreak/>
              <w:t>го лица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 xml:space="preserve">(ЮЛ) и индивидуального предпринимателя (ИП) определенной категории риска, определенного класса (категории опасности), об отнесении объекта государственного контроля (надзора) к определенной категории риска, определенном классу (категории) </w:t>
            </w:r>
            <w:proofErr w:type="gramStart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опасности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Чрезвычайно высокий риск (1 класс) Высокий риск (2 класс)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Значительный риск (3 класс)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Средний риск (4 класс)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Умеренный риск (5 класс)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Низкий риск (6 класс))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 xml:space="preserve">ПОРЯДКОВЫЙ НОМЕР ПРОВЕРКИ В </w:t>
            </w: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 xml:space="preserve">СИСТЕМЕ ФГИС ЕРП </w:t>
            </w: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(не заполняется при создании нового плана)</w:t>
            </w:r>
          </w:p>
        </w:tc>
      </w:tr>
      <w:tr w:rsidR="00416E38" w:rsidRPr="00416E38" w:rsidTr="00416E38">
        <w:trPr>
          <w:trHeight w:val="45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место (места) нахождения (ЮЛ, ОГВ, ФИО должностного лица)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место (места) фактического осуществления деятельности юридического лица (ЮЛ), индивидуального предпринимателя (ИП)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места нахождения объектов</w:t>
            </w: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юридического лица (ЮЛ</w:t>
            </w:r>
            <w:proofErr w:type="gramStart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индивидуального</w:t>
            </w:r>
            <w:proofErr w:type="gramEnd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предпринимателя (ИП)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(ДД.ММ.ГГГГ)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окончания последней плановой проверки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(ДД.ММ.ГГГГ)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начала осуществления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 xml:space="preserve">юридическим лицом (ЮЛ), 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индивидуальным предпринимателем (ИП)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деятельности в соответствии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с представленным уведомлением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о начале деятельности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(ДД.ММ.ГГГГ)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иные основания в соответствии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с федеральным законом</w:t>
            </w: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рабочих дней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рабочих </w:t>
            </w:r>
            <w:proofErr w:type="gramStart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часов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для МСП и МКП)</w:t>
            </w: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Постановление о назначении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административного назначения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или решении о приостановлении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и (или) аннулировании лицензии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Дата вступления в законную силу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(ДД.ММ.ГГГГ)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Дата окончания проведения </w:t>
            </w:r>
            <w:proofErr w:type="gramStart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проверки,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по</w:t>
            </w:r>
            <w:proofErr w:type="gramEnd"/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результатам которой они были приняты</w:t>
            </w:r>
            <w:r w:rsidRPr="00416E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(ДД.ММ.ГГГГ)</w:t>
            </w: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16E38" w:rsidRPr="00416E38" w:rsidTr="00416E38">
        <w:trPr>
          <w:trHeight w:val="3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2EFDA" w:fill="D9E1F2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4B084"/>
            <w:noWrap/>
            <w:vAlign w:val="center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МУНИЦИПАЛЬНОГО ОБРАЗОВАНИЯ "СОРТАВАЛЬСКОЕ ГОРОДСКОЕ ПОСЕЛЕНИЕ"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Сортавальский муниципальный район гор. Сортавала, ул.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Вяйнемяйнена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6 (2 этаж, помещение 10)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Сортавальский муниципальный район, территория: г. Сортавала, п. Заречье, п. Красная Горка,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Ламберг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Лахденкюля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Нукутталахти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Оявойс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Рантуэ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Токкарлахти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Хюмпиля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.,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Карелия, Сортавальский муниципальный район, территория: г. Сортавала, п. Заречье, п. Красная Горка,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Ламберг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Лахденкюля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Нукутталахти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Оявойс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Рантуэ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Токкарлахти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Хюмпиля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1051002036887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1007014597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102200794933</w:t>
            </w:r>
          </w:p>
        </w:tc>
      </w:tr>
      <w:tr w:rsidR="00416E38" w:rsidRPr="00416E38" w:rsidTr="00416E38">
        <w:trPr>
          <w:trHeight w:val="3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ВЯРТСИЛЬСКОГО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г. Сортавала,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Вяртсиля, ул. Заводская, д. 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Сортавальский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район,  территория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Вяртсиля, Республика Карелия, Сортавальский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район,  территория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Вяртсиля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1051002037294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1007014646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102200732571</w:t>
            </w:r>
          </w:p>
        </w:tc>
      </w:tr>
      <w:tr w:rsidR="00416E38" w:rsidRPr="00416E38" w:rsidTr="00416E38">
        <w:trPr>
          <w:trHeight w:val="60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ПРЯЖИНСКОГО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Пряжа, ул. Советская, 105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Пряжа,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Маньга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Маньга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Киндасово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Пряжа,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Маньга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Маньга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Киндасово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1051002320313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1021504113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102200732561</w:t>
            </w:r>
          </w:p>
        </w:tc>
      </w:tr>
      <w:tr w:rsidR="00416E38" w:rsidRPr="00416E38" w:rsidTr="00416E38">
        <w:trPr>
          <w:trHeight w:val="42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Петрозаводск, пр. Ленина, 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Петрозаводск, территория Петрозаводского городского округа, Республика Карелия, г. Петрозаводск, территория Петрозаводского городского округа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1021000538481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1001040505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01.06.2022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102200732533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ОЛОНЕЦКОГО НАЦИОНАЛЬНОГО МУНИЦИПАЛЬНОГО РАЙОНА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район,  г.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Олонец, ул. Свирских дивизий, 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города Олонец, д. Верховье,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Иммалицы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Капшойла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Путилица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Рыпушкалицы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Судалица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Татчелица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Тахтасово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города Олонец, д. Верховье,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Иммалицы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Капшойла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Путилица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Рыпушкалицы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Судалица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Татчелица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Тахтасово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1021001027629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1014002151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102200732530</w:t>
            </w:r>
          </w:p>
        </w:tc>
      </w:tr>
      <w:tr w:rsidR="00416E38" w:rsidRPr="00416E38" w:rsidTr="00416E38">
        <w:trPr>
          <w:trHeight w:val="3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ПЯОЗЕРСКОГО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Пяозерский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5в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Пяозерский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Пяозерский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1051001669157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1018003935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102200732539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ПОВЕНЕЦКОГО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Медвежьегорский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Повенец, ул.  Ленина, 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Медвежьегорский район, территории: п. Повенец,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Габсельга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села Сосновка, п. Тихвин Бор,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Волозеро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Морская Масельга, п. Лобское,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Хишозеро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1-9 Шлюзов, Республика Карелия, Медвежьегорский район, территории: п. Повенец,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Габсельга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села Сосновка, п. Тихвин Бор,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Волозеро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Морская Масельга, п. Лобское,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Хишозеро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п. 1-9 Шлюзов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1051002567307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1013800091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102200732545</w:t>
            </w:r>
          </w:p>
        </w:tc>
      </w:tr>
      <w:tr w:rsidR="00416E38" w:rsidRPr="00416E38" w:rsidTr="00416E38">
        <w:trPr>
          <w:trHeight w:val="42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ПЛОТИНСКОГО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Плотина, ул. Клубная, 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территории:  п.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Плотина, п. Чкаловский,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 п. Плотина, п. Чкаловский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1051001668871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1018003928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102200919632</w:t>
            </w:r>
          </w:p>
        </w:tc>
      </w:tr>
      <w:tr w:rsidR="00416E38" w:rsidRPr="00416E38" w:rsidTr="00416E38">
        <w:trPr>
          <w:trHeight w:val="54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КРИВОПОРОЖСКОГО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Карелия,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Кривой Порог, ул. Кольцевая, 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Кривой Порог,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Авнепорог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Шомба,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Панозеро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Панозеро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Кривой Порог,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Авнепорог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Шомба,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Панозеро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Панозеро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1061002000168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1002005648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102200919627</w:t>
            </w:r>
          </w:p>
        </w:tc>
      </w:tr>
      <w:tr w:rsidR="00416E38" w:rsidRPr="00416E38" w:rsidTr="00416E38">
        <w:trPr>
          <w:trHeight w:val="24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муниципального образования "Беломорский муниципальный район"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Беломорск, ул. Ленинская, д. 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Беломорск, ул. Ленинская, д. 9, Республика Карелия, г. Беломорск, ул. Ленинская, д. 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1021000977876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1011000653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01.11.2022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102200919666</w:t>
            </w:r>
          </w:p>
        </w:tc>
      </w:tr>
      <w:tr w:rsidR="00416E38" w:rsidRPr="00416E38" w:rsidTr="00416E38">
        <w:trPr>
          <w:trHeight w:val="24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Сегежского муниципального района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Сегежа, ул. Ленина, д. 9А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Сегежа, ул. Ленина, д. 9А, Республика Карелия, г. Сегежа, ул. Ленина, д. 9А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1021000922964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1006002126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102200919668</w:t>
            </w:r>
          </w:p>
        </w:tc>
      </w:tr>
      <w:tr w:rsidR="00416E38" w:rsidRPr="00416E38" w:rsidTr="00416E38">
        <w:trPr>
          <w:trHeight w:val="24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ПЕТРОЗАВОДСКОГО ГОРОДСКОГО ОКРУГА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Петрозаводск, пр. Ленина, 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Петрозаводск, пр. Ленина, 2, Республика Карелия, г. Петрозаводск, пр. Ленина, 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1021000538481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1001040505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01.06.2022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102200919625</w:t>
            </w:r>
          </w:p>
        </w:tc>
      </w:tr>
      <w:tr w:rsidR="00416E38" w:rsidRPr="00416E38" w:rsidTr="00416E38">
        <w:trPr>
          <w:trHeight w:val="60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"КАЛЕВАЛЬСКИЙ НАЦИОНАЛЬНЫЙ РАЙОН" АДМИНИСТРАЦИЯ КАЛЕВАЛЬСКОГО МУНИЦИПАЛЬНОГО РАЙОНА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Калевальский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Калевала, ул. Советская, 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Калевальский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территория: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Калевала,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Куусиниеми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Калевальского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городского поселения,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Калевальский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территория: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Калевала,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Куусиниеми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Калевальского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1021001074401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1017001325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17.11.2002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102200919612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КЕДРОЗЕРСКОГО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Кондопожский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Кедрозерс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Гористая, 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Кондопожский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Кедрозеро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п. Новый поселок;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Лижма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Илемсельга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Ватнаволок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д. Лукин остров;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Мянсельга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ст.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Мянсельга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ст.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Лижма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Кондопожский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Кедрозеро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п. Новый поселок;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Лижма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Илемсельга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Ватнаволок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д. Лукин остров;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Мянсельга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ст.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Мянсельга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; ст.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Лижма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1051002568451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1003999921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102200919622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МИЙНАЛЬСКОГО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Лахденпохский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г. Лахденпохья, ул. Октябрьская, 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Лахденпохский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Мийнала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Ихала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Коконниэми,п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Кортела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Лумиваара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Метсямикли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п.Микли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Нива,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Оппола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Паукъярвенкюля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Парконмяки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Райвио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Раухала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Сикопохья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 п.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Сорола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Уусикюля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Ханканмяки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Харвиа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Лахденпохский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Мийнала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Ихала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Коконниэми,п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Кортела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Лумиваара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Метсямикли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п.Микли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Нива,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Оппола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Паукъярвенкюля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Парконмяки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Райвио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Раухала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Сикопохья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 п.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Сорола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Уусикюля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Ханканмяки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Харвиа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1051002039054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1012007740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19.09.2017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102200919613</w:t>
            </w:r>
          </w:p>
        </w:tc>
      </w:tr>
      <w:tr w:rsidR="00416E38" w:rsidRPr="00416E38" w:rsidTr="00416E38">
        <w:trPr>
          <w:trHeight w:val="6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ЧЕЛМУЖСКОГО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Медвежьегорский район, д. Челмужи, ул. Заречная, 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Медвежьегорский район, территории: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Чёлмужи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Данилово,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Возрицы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Немино-3,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Огорелыши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Сергиево, Республика Карелия, Медвежьегорский район, территории: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Чёлмужи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Данилово,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Возрицы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Немино-3,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Огорелыши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п. Сергиево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1051002567714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1013800119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102200919638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НАЙСТЕНЪЯРВСКОГО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Суоярвский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Найстенъярви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Заводская, 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Суоярвский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территории:  п.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Найстенъярви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Найстенъярви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послека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Лахколампи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Тойвола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Суоёки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послека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Турханваара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Леппяниэми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Суоярвский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Найстенъярви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Найстенъярви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послека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Лахколампи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Тойвола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Суоёки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послека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Турханваара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Леппяниэми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1051002321150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1016010750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102200919663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ЧАЛНИНСКОГО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Чална, ул. Первомайская, 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Чална,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Виллагора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Виданы, д. Нижние Виданы,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Виллагора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Кутижма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станиции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Кутижма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Падозеро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Падозеро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Кузьминка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Чална,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Виллагора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Виданы, д. Нижние Виданы,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Виллагора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Кутижма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станиции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Кутижма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Падозеро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Падозеро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Кузьминка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1051002321886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1021504233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102200919654</w:t>
            </w:r>
          </w:p>
        </w:tc>
      </w:tr>
      <w:tr w:rsidR="00416E38" w:rsidRPr="00416E38" w:rsidTr="00416E38">
        <w:trPr>
          <w:trHeight w:val="3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МУНИЦИПАЛЬНОГО ОБРАЗОВАНИЯ "СОРТАВАЛЬСКОЕ ГОРОДСКОЕ ПОСЕЛЕНИЕ"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г. Сортавала, ул.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Вяйнемяйнена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д. 6, этаж 2, помещение 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г. Сортавала, ул.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Вяйнемяйнена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6, этаж 2, помещение 10, Республика Карелия, г. Сортавала, ул.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Вяйнемяйнена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д. 6, этаж 2, помещение 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1051002036887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1007014597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102200919659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КУГАНАВОЛОКСКОГО СЕЛЬСКОГО ПОСЕЛЕНИЯ ПУДОЖСКГО МУНИЦИПАЛЬНОГО РАЙОНА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Пудожский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д. Куганаволок, 92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Пудожский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Куганаволок,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Бостилово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Кевасалма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пелгостров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Канзанаволок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Коскосалма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Чуяла,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Вамская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плотина,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Колгостров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Пудожский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Куганаволок,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Бостилово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Кевасалма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пелгостров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Канзанаволок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Коскосалма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Чуяла,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Вамская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плотина,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Колгостров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1051002567880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1015006215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102200919656</w:t>
            </w:r>
          </w:p>
        </w:tc>
      </w:tr>
      <w:tr w:rsidR="00416E38" w:rsidRPr="00416E38" w:rsidTr="00416E38">
        <w:trPr>
          <w:trHeight w:val="48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РЫБОРЕЦКОГО ВЕПССКОГО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Прионежский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Рыбрека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Прионежский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Рыбрека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Другая Река,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Каскесручей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Прионежский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Рыбрека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Другая Река,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Каскесручей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1051002320544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1020011531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102200919647</w:t>
            </w:r>
          </w:p>
        </w:tc>
      </w:tr>
      <w:tr w:rsidR="00416E38" w:rsidRPr="00416E38" w:rsidTr="00416E38">
        <w:trPr>
          <w:trHeight w:val="78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КУБОВСКОГО СЕЛЬСКОГО ПОСЕЛЕНИЯ ПУДОЖСКГО МУНИЦИПАЛЬНОГО РАЙОНА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Пудожский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Кубово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Пудожский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Кубово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поселака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Водла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Кубовский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сплавной участок,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Кубовская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Поршта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Пудожский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Кубово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поселака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Водла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Кубовский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сплавной участок,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Кубовская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Поршта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1051002567802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1015006180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102200919657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КОТКОЗЕРСКОГО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район,  д.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Коткозеро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Олонецкая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Коткозеро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Гошкила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Лумбозеро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Березовая Гора, д.  Торосозеро,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Кескозеро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Утозеро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Вагвозеро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 Черная Речка,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Интерпоселок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Коткозеро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Гошкила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Лумбозеро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Березовая Гора, д.  Торосозеро,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Кескозеро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Утозеро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Вагвозеро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 Черная Речка,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Интерпоселок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Верхнеолонецкий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1051002039560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1014010040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01.08.2022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102200919619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КУЗЕМСКОГО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Карелия,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Кузема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Вокзальная, 4, 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Кузема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Воньга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Поньгома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Гридино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Калгалакша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Поньгома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Ламбино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станции Сиг,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Кузема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Воньга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Поньгома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Гридино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Калгалакша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Поньгома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Ламбино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станции Сиг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1061002011729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1002005670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102200919628</w:t>
            </w:r>
          </w:p>
        </w:tc>
      </w:tr>
      <w:tr w:rsidR="00416E38" w:rsidRPr="00416E38" w:rsidTr="00416E38">
        <w:trPr>
          <w:trHeight w:val="45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ДЕРЕВЯНКСКОГО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Прионежский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Деревянка, ул. Мира, 7, 53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Прионежский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  п.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Деревянка, п. Пяжиева Сельга,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Прионежский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  п. Деревянка, п. Пяжиева Сельга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1051002319356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1020011468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102200919649</w:t>
            </w:r>
          </w:p>
        </w:tc>
      </w:tr>
      <w:tr w:rsidR="00416E38" w:rsidRPr="00416E38" w:rsidTr="00416E38">
        <w:trPr>
          <w:trHeight w:val="42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РАБОЧЕОСТРОВСКОГО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Карелия,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Рабочеостровск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Юбилейная, 4, 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Рабочеостровск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Мягрека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Кемский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Рабочеостровск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станции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Мягрека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1061002010684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1002005655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102200919626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ИЛЬИНСКОГО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Ильинский, ул. Леселидзе, 46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Ильинское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Нурмойла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Еройла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Герпеля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Ильинская Горка,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Седокса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Тулокса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Устье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Тулокса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Большаково, п. совхоза "Ильинский",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Ильинское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Нурмойла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Еройла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Герпеля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Ильинская Горка,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Седокса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Тулокса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Устье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Тулокса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д. Большаково, п. совхоза "Ильинский"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1051002039098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1014009982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01.10.2022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102200919618</w:t>
            </w:r>
          </w:p>
        </w:tc>
      </w:tr>
      <w:tr w:rsidR="00416E38" w:rsidRPr="00416E38" w:rsidTr="00416E38">
        <w:trPr>
          <w:trHeight w:val="3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ПЕНИНГСКОГО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Муезерский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Пенинга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Ленина, 18.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Муезерский район, территории: п.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Пенинга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.,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Карелия, Муезерский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Пенинга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1051001871250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1019003014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102200919643</w:t>
            </w:r>
          </w:p>
        </w:tc>
      </w:tr>
      <w:tr w:rsidR="00416E38" w:rsidRPr="00416E38" w:rsidTr="00416E38">
        <w:trPr>
          <w:trHeight w:val="3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ПОВЕНЕЦКОГО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Медвежьегорский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Повенец, ул.  Ленина, 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Медвежьегорский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Повенец, ул.  Ленина, 18, Республика Карелия, Медвежьегорский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Повенец, ул.  Ленина, 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1051002567307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1013800091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102200919637</w:t>
            </w:r>
          </w:p>
        </w:tc>
      </w:tr>
      <w:tr w:rsidR="00416E38" w:rsidRPr="00416E38" w:rsidTr="00416E38">
        <w:trPr>
          <w:trHeight w:val="48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ШОКШИНСКОГО ВЕПССКОГО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Прионежский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Кварцитный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14, 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Прионежский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  п.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Кварцитный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Шокша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Яшезеро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Прионежский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 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Кварцитный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Шокша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Яшезеро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1051002321260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1020011612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102200919648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ВЕДЛОЗЕРСКОГО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Ведлозеро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пер. Совхозный, 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Кинелахта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Ламбинаволок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Юргилица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Куккойла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Щукнаволок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Паннила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Кинерма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Репное озеро,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Щеккила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Хлебозеро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Черная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ламба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Кутчезеро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Сыссойла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Ламбисельга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Гутсельга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Каскисельга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Койвусельга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Койвусельга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Палалахта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Мандера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Колатсельга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Кукойнваара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Паннисельга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Акимово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Маясельга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Пунчойла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Погойла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Симанова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Кохтусельга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Гилкожа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Кинелахта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Ламбинаволок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Юргилица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Куккойла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Щукнаволок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Паннила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Кинерма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Репное озеро,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Щеккила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Хлебозеро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Черная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ламба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Кутчезеро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Сыссойла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Ламбисельга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Гутсельга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Каскисельга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Койвусельга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Койвусельга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Палалахта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Мандера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Колатсельга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Кукойнваара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Паннисельга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Акимово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Маясельга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Пунчойла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Погойла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Симанова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Кохтусельга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Гилкожа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1051002321380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1021504152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102200919655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ЛОУХСКОГО МУНИЦИПАЛЬНОГО РАЙОНА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Лоухи, ул. Советская, 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Карелия,Лоухский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Лоухи,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Пяозерский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Чупа,  п.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Амбарный, станция Боярская, поселок.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Энгозеро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Кестеньга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Зашеек, поселок Сосновый, деревня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Коккосалма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Кушеванда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Новый Софпорог, поселок  Софпорог, поселок Тунгозеро, поселок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Тухкала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Малиновая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Варакка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Карельский, станция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Кереть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Котозеро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Нижняя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Пулонга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Нильмогуба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Нильмозеро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станция  Полярный Круг, поселок Приморский, поселок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Тэдино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Хетоламбина, </w:t>
            </w: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Чрная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Река, поселок Плотина, поселок Чкаловский., Республика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Карелия,Лоухский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Лоухи,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Пяозерский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Чупа,  п.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Амбарный, станция Боярская, поселок.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Энгозеро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Кестеньга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Зашеек, поселок Сосновый,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деревня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Коккосалма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Кушеванда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Новый Софпорог, поселок  Софпорог, поселок Тунгозеро, поселок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Тухкала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Малиновая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Варакка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Карельский, станция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Кереть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Котозеро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Нижняя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Пулонга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Нильмогуба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Нильмозеро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станция  Полярный Круг, поселок </w:t>
            </w: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Приморский, поселок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Тэдино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поселок Хетоламбина,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Чрная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Река, поселок Плотина, поселок Чкаловский.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1021001088371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1018001085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01.10.2022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102200919629</w:t>
            </w:r>
          </w:p>
        </w:tc>
      </w:tr>
      <w:tr w:rsidR="00416E38" w:rsidRPr="00416E38" w:rsidTr="00416E38">
        <w:trPr>
          <w:trHeight w:val="48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ЛУУСАЛМСКОГО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Калевальский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Луусалми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11А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Калевальский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территория: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Луусалми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Войница,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Тихтозеро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Калевальский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территория: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Луусалми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Войница,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Тихтозеро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1051001675922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1017001766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01.06.2022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102200919611</w:t>
            </w:r>
          </w:p>
        </w:tc>
      </w:tr>
      <w:tr w:rsidR="00416E38" w:rsidRPr="00416E38" w:rsidTr="00416E38">
        <w:trPr>
          <w:trHeight w:val="6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ПОРОСОЗЕРСКОГО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Суоярвский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Поросозеро, 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Суоярвский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Поросозеро,  п.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Поросозеро,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Костомукса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Гумарино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Совдозеро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Леппяниэми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Суоярвский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Поросозеро,  п. Поросозеро,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Костомукса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Гумарино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Совдозеро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Леппяниэми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1051002320060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1016010729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102200919665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ЭССОЙЛЬСКОГО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Эссойла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Первомайская, 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район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территории: 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Эссойла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Эссойла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Аллека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леревни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Ангенлахта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Иванисто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Корза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Курмойла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Кунгозерский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Метчелица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Мишинсельга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Нижняя Салма,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Проккойла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Рубчойла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Салменица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Сяргилахта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Сямозеро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Кудама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Сяпся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Чйнаволок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Чуралахта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Новые Пески,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Соддер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Улялега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Каменьнаволок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район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территории:  села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Эссойла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Эссойла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Аллека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леревни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Ангенлахта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Иванисто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Корза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Курмойла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Кунгозерский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Метчелица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Мишинсельга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Нижняя Салма,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Проккойла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Рубчойла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Салменица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Сяргилахта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Сямозеро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Кудама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Сяпся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Чйнаволок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Чуралахта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Новые Пески,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Соддер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Улялега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Каменьнаволок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1051002320929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1021504138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01.06.2022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102200919650</w:t>
            </w:r>
          </w:p>
        </w:tc>
      </w:tr>
      <w:tr w:rsidR="00416E38" w:rsidRPr="00416E38" w:rsidTr="00416E38">
        <w:trPr>
          <w:trHeight w:val="39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ПЯОЗЕРСКОГО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Пяозерский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5в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Пяозерский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ул. Молодежная, 5в,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Пяозерский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Молодежная, 5в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1051001669157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1018003935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01.12.2022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102200919631</w:t>
            </w:r>
          </w:p>
        </w:tc>
      </w:tr>
      <w:tr w:rsidR="00416E38" w:rsidRPr="00416E38" w:rsidTr="00416E38">
        <w:trPr>
          <w:trHeight w:val="42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ЧУПИНСКОГО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район,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Чупа,  ул.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Коргуева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д.7а.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Чупа, станции Чупа,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Чупа, станции Чупа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1051001668849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1018003893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01.09.2022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102200919633</w:t>
            </w:r>
          </w:p>
        </w:tc>
      </w:tr>
      <w:tr w:rsidR="00416E38" w:rsidRPr="00416E38" w:rsidTr="00416E38">
        <w:trPr>
          <w:trHeight w:val="27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муниципального образования "</w:t>
            </w:r>
            <w:proofErr w:type="spellStart"/>
            <w:r w:rsidRPr="00416E38">
              <w:rPr>
                <w:rFonts w:ascii="Calibri" w:eastAsia="Times New Roman" w:hAnsi="Calibri" w:cs="Times New Roman"/>
                <w:lang w:eastAsia="ru-RU"/>
              </w:rPr>
              <w:t>Суоярвский</w:t>
            </w:r>
            <w:proofErr w:type="spellEnd"/>
            <w:r w:rsidRPr="00416E38">
              <w:rPr>
                <w:rFonts w:ascii="Calibri" w:eastAsia="Times New Roman" w:hAnsi="Calibri" w:cs="Times New Roman"/>
                <w:lang w:eastAsia="ru-RU"/>
              </w:rPr>
              <w:t xml:space="preserve"> район"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г. Суоярви, ул.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Шельшакова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г. Суоярви, ул.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Шельшакова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6, Республика Карелия, г. Суоярви, ул.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Шельшакова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д. 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1021001061839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1016010302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102200919670</w:t>
            </w:r>
          </w:p>
        </w:tc>
      </w:tr>
      <w:tr w:rsidR="00416E38" w:rsidRPr="00416E38" w:rsidTr="00416E38">
        <w:trPr>
          <w:trHeight w:val="42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ОЛОНЕЦКОГО НАЦИОНАЛЬНОГО МУНИЦИПАЛЬНОГО РАЙОНА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район,  г.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Олонец, ул. Свирских дивизий, 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район,  г.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Олонец, ул. Свирских дивизий, 1,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 г. Олонец, ул. Свирских дивизий, 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1021001027629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1014002151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102200919621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ЧЕБИНСКОГО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Медвежьегорский район,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Чебино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46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Медвежьегорский район, территории: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Чёбино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Падун, п. Кумса-2, п. Большая Сельга, д. Карельская Масельга,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Остречье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Мяндусельга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Карзикозеро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Загубье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Покровское, д.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Семчезеро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.,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Карелия, Медвежьегорский район, территории: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Чёбино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Падун, п. Кумса-2, п. Большая Сельга, д. Карельская Масельга,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Остречье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Мяндусельга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Карзикозеро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Загубье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Покровское,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Семчезеро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1051002568330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1013800172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102200919639</w:t>
            </w:r>
          </w:p>
        </w:tc>
      </w:tr>
      <w:tr w:rsidR="00416E38" w:rsidRPr="00416E38" w:rsidTr="00416E38">
        <w:trPr>
          <w:trHeight w:val="54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ЛЯСКЕЛЬСКОГО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Питкярантский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Ляскеля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Питкярантский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Ляскеля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Янис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Хийденсельга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Керисюрья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Питкярантский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Ляскеля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Янис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Хийденсельга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Керисюрья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1051002038592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1005008446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102200919640</w:t>
            </w:r>
          </w:p>
        </w:tc>
      </w:tr>
      <w:tr w:rsidR="00416E38" w:rsidRPr="00416E38" w:rsidTr="00416E38">
        <w:trPr>
          <w:trHeight w:val="42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МАТРОССКОГО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Матросы,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Прияжинское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шоссе, 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территория  посёлка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Матросы,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территория  посёлка Матросы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1051002321479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1021504201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102200919651</w:t>
            </w:r>
          </w:p>
        </w:tc>
      </w:tr>
      <w:tr w:rsidR="00416E38" w:rsidRPr="00416E38" w:rsidTr="00416E38">
        <w:trPr>
          <w:trHeight w:val="24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Сортавальского муниципального района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Сортавала, пл. Кирова, д. 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Сортавала, пл. Кирова, д. 11, Республика Карелия, г. Сортавала, пл. Кирова, д. 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1021000945217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1007002143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102200919669</w:t>
            </w:r>
          </w:p>
        </w:tc>
      </w:tr>
      <w:tr w:rsidR="00416E38" w:rsidRPr="00416E38" w:rsidTr="00416E38">
        <w:trPr>
          <w:trHeight w:val="30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ВЯРТСИЛЬСКОГО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г. Сортавала,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Вяртсиля, ул. Заводская, д. 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г. Сортавала,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Вяртсиля, ул. Заводская, д. 7, Республика Карелия, г. Сортавала,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Вяртсиля, ул. Заводская, д. 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1051002037294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1007014646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102200919662</w:t>
            </w:r>
          </w:p>
        </w:tc>
      </w:tr>
      <w:tr w:rsidR="00416E38" w:rsidRPr="00416E38" w:rsidTr="00416E38">
        <w:trPr>
          <w:trHeight w:val="3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ТУКСИНСКОГО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Тукса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Новая, 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территория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Тукса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территория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Тукса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1061007000152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1014010071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102200919614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КОВЕРСКОГО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Нурмолицы</w:t>
            </w:r>
            <w:proofErr w:type="spellEnd"/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Гушкала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Ковера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Кукшегоры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Лемозеро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Нинисельга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Новинка,д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Нурмолицы,д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Сяндеба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Тенгусельга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Тигвера,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Тулосозеро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Сяппеваара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Сорочья Гора,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Гушкала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Ковера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Кукшегоры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Лемозеро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Нинисельга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Новинка,д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Нурмолицы,д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Сяндеба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Тенгусельга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Тигвера,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Тулосозеро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Сяппеваара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д. Сорочья Гора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1051002039285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1014010025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102200919617</w:t>
            </w:r>
          </w:p>
        </w:tc>
      </w:tr>
      <w:tr w:rsidR="00416E38" w:rsidRPr="00416E38" w:rsidTr="00416E38">
        <w:trPr>
          <w:trHeight w:val="30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ГАРНИЗОННОГО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Прионежский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Чална - 1, ул.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Завражнова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Карелия,Прионежский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 д.  Порожек, Республика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Карелия,Прионежский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 д.  Порожек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1051002321842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1020011683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102200919646</w:t>
            </w:r>
          </w:p>
        </w:tc>
      </w:tr>
      <w:tr w:rsidR="00416E38" w:rsidRPr="00416E38" w:rsidTr="00416E38">
        <w:trPr>
          <w:trHeight w:val="3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ПРЯЖИНСКОГО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Пряжа, ул. Советская, 105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Пряжа, ул. Советская, 105,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Пряжинский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Пряжа, ул. Советская, 105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1051002320313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1021504113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01.07.2022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102200919653</w:t>
            </w:r>
          </w:p>
        </w:tc>
      </w:tr>
      <w:tr w:rsidR="00416E38" w:rsidRPr="00416E38" w:rsidTr="00416E38">
        <w:trPr>
          <w:trHeight w:val="24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 xml:space="preserve">Администрация </w:t>
            </w:r>
            <w:proofErr w:type="spellStart"/>
            <w:r w:rsidRPr="00416E38">
              <w:rPr>
                <w:rFonts w:ascii="Calibri" w:eastAsia="Times New Roman" w:hAnsi="Calibri" w:cs="Times New Roman"/>
                <w:lang w:eastAsia="ru-RU"/>
              </w:rPr>
              <w:t>Питкярантского</w:t>
            </w:r>
            <w:proofErr w:type="spellEnd"/>
            <w:r w:rsidRPr="00416E38">
              <w:rPr>
                <w:rFonts w:ascii="Calibri" w:eastAsia="Times New Roman" w:hAnsi="Calibri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Питкяранта, ул. Ленина, д.13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г. Питкяранта, ул. Ленина, д.13, Республика Карелия, г. Питкяранта, ул. Ленина, д.13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1021000906079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1005160024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102200919667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КААЛАМСКОГО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Сортавальский муниципальный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Кааламо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Центральная, 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Сортавальский муниципальный район территория: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Кааламо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Кекоселькя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Кирколахти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Куконваара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Контиолахти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Маткаселькя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местечко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Отраккало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 п.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Рускеала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Саханкоски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Кирьеволахти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Ляппясилька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Рюттю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Ханнуккаланмяки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Пуйккола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Партала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Алялямпи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Пиртипохья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местечко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Ханки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хутор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Суйкка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Сортавальский муниципальный район территория: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Кааламо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Кекоселькя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Кирколахти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Куконваара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Контиолахти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Маткаселькя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местечко </w:t>
            </w:r>
            <w:proofErr w:type="spellStart"/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Отраккало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 п.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Рускеала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Саханкоски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Кирьеволахти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Ляппясилька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Рюттю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Ханнуккаланмяки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Пуйккола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Партала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станция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Алялямпи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Пиртипохья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местечко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Ханки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хутор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Суйкка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1051002037602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1007014653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102200919660</w:t>
            </w:r>
          </w:p>
        </w:tc>
      </w:tr>
      <w:tr w:rsidR="00416E38" w:rsidRPr="00416E38" w:rsidTr="00416E38">
        <w:trPr>
          <w:trHeight w:val="72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 НАДВОИЦКОГО</w:t>
            </w:r>
            <w:proofErr w:type="gramEnd"/>
            <w:r w:rsidRPr="00416E38">
              <w:rPr>
                <w:rFonts w:ascii="Calibri" w:eastAsia="Times New Roman" w:hAnsi="Calibri" w:cs="Times New Roman"/>
                <w:lang w:eastAsia="ru-RU"/>
              </w:rPr>
              <w:t xml:space="preserve">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Сегежский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Надвоицы, ул. Ленина, 1/4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Сегежский район, территории: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Надвоицы, п.  Верхний, д. Каменный Бор, пристань Надвоицы, д. Дуброво, д. Надвоицы, Республика Карелия, Сегежский район, территории: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Надвоицы, п.  Верхний, д. Каменный Бор, пристань Надвоицы, д. Дуброво, д. Надвоицы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1051001869720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1006007100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102200919644</w:t>
            </w:r>
          </w:p>
        </w:tc>
      </w:tr>
      <w:tr w:rsidR="00416E38" w:rsidRPr="00416E38" w:rsidTr="00416E38">
        <w:trPr>
          <w:trHeight w:val="819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КЕСТЕНЬГСКОГО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Кестеньга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ул. Советская, д. 8.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Кестеньга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Сосновый, п. Софпорог, п. Новый Софпорог, п. Тунгозеро,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Тухкала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Коккосалма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Зашеек,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Кушеванда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Кестеньга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Сосновый, п. Софпорог, п. Новый Софпорог, п. Тунгозеро,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Тухкала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Коккосалма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деревня Зашеек, деревня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Кушеванда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1051001668860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1018003910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01.04.2022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102200919635</w:t>
            </w:r>
          </w:p>
        </w:tc>
      </w:tr>
      <w:tr w:rsidR="00416E38" w:rsidRPr="00416E38" w:rsidTr="00416E38">
        <w:trPr>
          <w:trHeight w:val="3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 НАДВОИЦКОГО</w:t>
            </w:r>
            <w:proofErr w:type="gramEnd"/>
            <w:r w:rsidRPr="00416E38">
              <w:rPr>
                <w:rFonts w:ascii="Calibri" w:eastAsia="Times New Roman" w:hAnsi="Calibri" w:cs="Times New Roman"/>
                <w:lang w:eastAsia="ru-RU"/>
              </w:rPr>
              <w:t xml:space="preserve">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Сегежский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Надвоицы, ул. Ленина, 1/4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Сегежский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Надвоицы, ул. Ленина, 1/4, Республика Карелия, Сегежский район,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. Надвоицы, ул. Ленина, 1/4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1051001869720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1006007100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01.05.2022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102200919645</w:t>
            </w:r>
          </w:p>
        </w:tc>
      </w:tr>
      <w:tr w:rsidR="00416E38" w:rsidRPr="00416E38" w:rsidTr="00416E38">
        <w:trPr>
          <w:trHeight w:val="48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СУККОЗЕРСКОГО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Республика Карелия, Муезерский район, п. Суккозеро, ул. Гористая, 3.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Муезерский район, территории: п. Суккозеро,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Гимолы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п.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Тумба.,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Республика Карелия, Муезерский район, территории: п. Суккозеро, п.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Гимолы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п. Тумба.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1051001869962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1019002959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102200919642</w:t>
            </w:r>
          </w:p>
        </w:tc>
      </w:tr>
      <w:tr w:rsidR="00416E38" w:rsidRPr="00416E38" w:rsidTr="00416E38">
        <w:trPr>
          <w:trHeight w:val="3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ЧУПИНСКОГО ГОРОДСКОГО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район,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Чупа,  ул.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Коргуева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д. 7А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район,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Чупа,  ул.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Коргуева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д. 7А,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Лоухский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пгт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Чупа,  ул.</w:t>
            </w:r>
            <w:proofErr w:type="gram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Коргуева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, д. 7А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1051001668849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1018003893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надзор в области гражданской обороны, ч. 6 ст. 13.1 ФЗ от 12.02.1998 г. № 28-ФЗ,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01.09.2022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102200919634</w:t>
            </w:r>
          </w:p>
        </w:tc>
      </w:tr>
      <w:tr w:rsidR="00416E38" w:rsidRPr="00416E38" w:rsidTr="00416E38">
        <w:trPr>
          <w:trHeight w:val="6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lang w:eastAsia="ru-RU"/>
              </w:rPr>
              <w:t>АДМИНИСТРАЦИЯ ВИДЛИЦКОГО СЕЛЬСКОГО ПОСЕЛЕНИЯ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с. Видлица, ул. Советская, 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с. Видлица, п. Устье Видлицы, д. Верхняя Видлица, д. Большие Горы, д. Гавриловка, Республика Карелия, </w:t>
            </w:r>
            <w:proofErr w:type="spellStart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Олонецкий</w:t>
            </w:r>
            <w:proofErr w:type="spellEnd"/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район, территории: с. Видлица, п. Устье Видлицы, д. Верхняя Видлица, д. Большие Горы, д. Гавриловка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1051002039087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1014009990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Федеральный государственный пожарный надзор, ст. 6 ФЗ от 21.12.1994 г.№ 69-ФЗ, ст. 77 ФЗ от 06.10.2003 №131-ФЗ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01.03.2022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38" w:rsidRPr="00416E38" w:rsidRDefault="00416E38" w:rsidP="00416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6E38">
              <w:rPr>
                <w:rFonts w:ascii="Calibri" w:eastAsia="Times New Roman" w:hAnsi="Calibri" w:cs="Times New Roman"/>
                <w:color w:val="000000"/>
                <w:lang w:eastAsia="ru-RU"/>
              </w:rPr>
              <w:t>102200919615</w:t>
            </w:r>
          </w:p>
        </w:tc>
      </w:tr>
    </w:tbl>
    <w:p w:rsidR="00A827F5" w:rsidRDefault="00A827F5">
      <w:bookmarkStart w:id="1" w:name="_GoBack"/>
      <w:bookmarkEnd w:id="1"/>
    </w:p>
    <w:sectPr w:rsidR="00A827F5" w:rsidSect="00416E38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75"/>
    <w:rsid w:val="00416E38"/>
    <w:rsid w:val="00A827F5"/>
    <w:rsid w:val="00C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97ECD-3618-48D4-A292-7C81C035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E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6E38"/>
    <w:rPr>
      <w:color w:val="800080"/>
      <w:u w:val="single"/>
    </w:rPr>
  </w:style>
  <w:style w:type="paragraph" w:customStyle="1" w:styleId="font5">
    <w:name w:val="font5"/>
    <w:basedOn w:val="a"/>
    <w:rsid w:val="00416E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6E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416E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416E38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16E3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16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9E1F2" w:fill="D0CECE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16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0CECE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16E38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16E3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16E3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16E38"/>
    <w:pPr>
      <w:pBdr>
        <w:bottom w:val="single" w:sz="4" w:space="0" w:color="auto"/>
      </w:pBdr>
      <w:shd w:val="clear" w:color="D9E1F2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16E3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16E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16E3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16E3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16E38"/>
    <w:pPr>
      <w:pBdr>
        <w:bottom w:val="single" w:sz="4" w:space="0" w:color="auto"/>
      </w:pBdr>
      <w:shd w:val="clear" w:color="E2EFDA" w:fill="D9E1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1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1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16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6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16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99CC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1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1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1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16E3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1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16E3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1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16E3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16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2EFDA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16E38"/>
    <w:pPr>
      <w:pBdr>
        <w:bottom w:val="single" w:sz="4" w:space="0" w:color="auto"/>
      </w:pBdr>
      <w:shd w:val="clear" w:color="D9E1F2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1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1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D0CECE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16E38"/>
    <w:pPr>
      <w:pBdr>
        <w:bottom w:val="single" w:sz="4" w:space="0" w:color="auto"/>
      </w:pBdr>
      <w:shd w:val="clear" w:color="E2EFDA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16E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1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1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16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5500</Words>
  <Characters>31355</Characters>
  <Application>Microsoft Office Word</Application>
  <DocSecurity>0</DocSecurity>
  <Lines>261</Lines>
  <Paragraphs>73</Paragraphs>
  <ScaleCrop>false</ScaleCrop>
  <Company/>
  <LinksUpToDate>false</LinksUpToDate>
  <CharactersWithSpaces>36782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</dc:creator>
  <cp:keywords/>
  <dc:description/>
  <cp:lastModifiedBy>kalinin</cp:lastModifiedBy>
  <cp:revision>2</cp:revision>
  <dcterms:created xsi:type="dcterms:W3CDTF">2021-12-15T06:20:00Z</dcterms:created>
  <dcterms:modified xsi:type="dcterms:W3CDTF">2021-12-15T06:22:00Z</dcterms:modified>
</cp:coreProperties>
</file>